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B" w:rsidRDefault="0080283B" w:rsidP="0080283B">
      <w:pPr>
        <w:keepNext/>
        <w:widowControl w:val="0"/>
        <w:jc w:val="center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napToGrid w:val="0"/>
          <w:color w:val="0000FF"/>
          <w:sz w:val="28"/>
          <w:szCs w:val="28"/>
          <w:u w:val="single"/>
        </w:rPr>
        <w:t>ЦЕЛИ И ЗАДАЧИ  ОФИЦИАЛЬНЫХ  ПРЕДСТАВИТЕЛЕЙ  ПРОГРАММЫ  ДЛЯ  ЕЕ РЕАЛИЗАЦИИ:</w:t>
      </w:r>
    </w:p>
    <w:p w:rsidR="0080283B" w:rsidRPr="00B96DCC" w:rsidRDefault="0080283B" w:rsidP="0080283B">
      <w:pPr>
        <w:keepNext/>
        <w:widowControl w:val="0"/>
        <w:jc w:val="center"/>
        <w:outlineLvl w:val="0"/>
        <w:rPr>
          <w:b/>
          <w:bCs/>
          <w:snapToGrid w:val="0"/>
          <w:color w:val="0000FF"/>
          <w:sz w:val="16"/>
          <w:szCs w:val="16"/>
          <w:u w:val="single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 </w:t>
      </w:r>
      <w:proofErr w:type="gramStart"/>
      <w:r>
        <w:rPr>
          <w:snapToGrid w:val="0"/>
          <w:sz w:val="28"/>
          <w:szCs w:val="28"/>
        </w:rPr>
        <w:t>При реализации Российских научно-социальных программ для молодежи и школьников «Шаг в будущее», «Созвездие», «НТТМ»</w:t>
      </w:r>
      <w:r w:rsidRPr="006212B6">
        <w:rPr>
          <w:sz w:val="24"/>
          <w:szCs w:val="24"/>
        </w:rPr>
        <w:t xml:space="preserve"> </w:t>
      </w:r>
      <w:r w:rsidRPr="006212B6">
        <w:rPr>
          <w:sz w:val="28"/>
          <w:szCs w:val="28"/>
        </w:rPr>
        <w:t>в соответствии с Челябинской областной целевой программой «Дети Южного Урала» на 2011 – 2015 годы (направление «Одаренные дети», раздел 6 «Обеспечение социокультурного развития одаренных детей», п. 25 программа «Шаг в будущее…»),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организации-официальные участники программ ведут совместную деятельность по следующим основным направлениям. </w:t>
      </w:r>
      <w:proofErr w:type="gramEnd"/>
    </w:p>
    <w:p w:rsidR="0080283B" w:rsidRDefault="0080283B" w:rsidP="0080283B">
      <w:pPr>
        <w:widowControl w:val="0"/>
        <w:jc w:val="both"/>
        <w:rPr>
          <w:snapToGrid w:val="0"/>
          <w:sz w:val="16"/>
          <w:szCs w:val="16"/>
        </w:rPr>
      </w:pPr>
    </w:p>
    <w:p w:rsidR="0080283B" w:rsidRDefault="0080283B" w:rsidP="0080283B">
      <w:pPr>
        <w:widowControl w:val="0"/>
        <w:spacing w:after="120"/>
        <w:jc w:val="both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 xml:space="preserve">Образование и наука: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формирование в структуре российского образования системы "школа - наука - вуз";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поддержка и реализация передовых отечественных образовательных технологий. </w:t>
      </w:r>
    </w:p>
    <w:p w:rsidR="0080283B" w:rsidRDefault="0080283B" w:rsidP="0080283B">
      <w:pPr>
        <w:widowControl w:val="0"/>
        <w:spacing w:after="120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>Профессиональное становление молодежи: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3" w:hanging="283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организация и поддержка молодежных обществ и объединений по профессиональным интересам, в том числе Российского молодежного политехнического общества и его Челябинского филиала - Союза творческой интеллектуальной  молодежи;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 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развитие многоступенчатой системы воспитания молодых специалистов. </w:t>
      </w:r>
    </w:p>
    <w:p w:rsidR="0080283B" w:rsidRDefault="0080283B" w:rsidP="0080283B">
      <w:pPr>
        <w:widowControl w:val="0"/>
        <w:jc w:val="both"/>
        <w:rPr>
          <w:i/>
          <w:iCs/>
          <w:snapToGrid w:val="0"/>
          <w:sz w:val="16"/>
          <w:szCs w:val="16"/>
        </w:rPr>
      </w:pPr>
    </w:p>
    <w:p w:rsidR="0080283B" w:rsidRDefault="0080283B" w:rsidP="0080283B">
      <w:pPr>
        <w:widowControl w:val="0"/>
        <w:spacing w:after="120"/>
        <w:jc w:val="both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>Использование интеллектуального и профессионального потенциала молодежи в науке и в реальном секторе экономики: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организация и поддержка молодежных научно-исследовательских и производственных коллективов, внедрение разработок;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создание интеллектуальной продукц</w:t>
      </w:r>
      <w:proofErr w:type="gramStart"/>
      <w:r>
        <w:rPr>
          <w:i/>
          <w:iCs/>
          <w:snapToGrid w:val="0"/>
          <w:sz w:val="28"/>
          <w:szCs w:val="28"/>
        </w:rPr>
        <w:t>ии и ее</w:t>
      </w:r>
      <w:proofErr w:type="gramEnd"/>
      <w:r>
        <w:rPr>
          <w:i/>
          <w:iCs/>
          <w:snapToGrid w:val="0"/>
          <w:sz w:val="28"/>
          <w:szCs w:val="28"/>
        </w:rPr>
        <w:t xml:space="preserve"> правовая защита.</w:t>
      </w:r>
    </w:p>
    <w:p w:rsidR="0080283B" w:rsidRDefault="0080283B" w:rsidP="0080283B">
      <w:pPr>
        <w:widowControl w:val="0"/>
        <w:spacing w:after="120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>Социальные проблемы молодежи: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осознанный выбор профессии, прежде всего в наукоемких областях;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ориентация на созидательную и творческую деятельность, на отечественную культуру, образование, науку; влияние на развитие позитивных тенденций в общественной психологии;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работа с творческой молодежью, проживающей в отдаленных районах страны;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развитие и поддержание межнациональных связей молодежи в России;</w:t>
      </w:r>
    </w:p>
    <w:p w:rsidR="0080283B" w:rsidRDefault="0080283B" w:rsidP="0080283B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размещение корреспонденций в СМИ в области профессионального становления молодёжи.</w:t>
      </w:r>
    </w:p>
    <w:p w:rsidR="0080283B" w:rsidRPr="00FF16C0" w:rsidRDefault="0080283B" w:rsidP="0080283B">
      <w:pPr>
        <w:widowControl w:val="0"/>
        <w:autoSpaceDE w:val="0"/>
        <w:autoSpaceDN w:val="0"/>
        <w:jc w:val="both"/>
        <w:rPr>
          <w:i/>
          <w:iCs/>
          <w:snapToGrid w:val="0"/>
          <w:sz w:val="16"/>
          <w:szCs w:val="16"/>
        </w:rPr>
      </w:pPr>
    </w:p>
    <w:p w:rsidR="0080283B" w:rsidRDefault="0080283B" w:rsidP="0080283B">
      <w:pPr>
        <w:widowControl w:val="0"/>
        <w:spacing w:after="120"/>
        <w:jc w:val="both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 xml:space="preserve">Международные связи: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укрепление интеграционных процессов внутри Содружества Независимых Государств на основе развития связей между школьниками, студентами, молодыми учеными и специалистами в области профессионального творчества;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интеграция в Европейскую и мировую систему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 </w:t>
      </w:r>
    </w:p>
    <w:p w:rsidR="0080283B" w:rsidRDefault="0080283B" w:rsidP="0080283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обеспечение демонстрации научных, инженерных и других профессиональных достижений российской молодежи на международных соревнованиях, выставках, конференциях.</w:t>
      </w:r>
    </w:p>
    <w:p w:rsidR="0080283B" w:rsidRPr="00FF16C0" w:rsidRDefault="0080283B" w:rsidP="0080283B">
      <w:pPr>
        <w:widowControl w:val="0"/>
        <w:spacing w:after="60"/>
        <w:jc w:val="both"/>
        <w:rPr>
          <w:i/>
          <w:iCs/>
          <w:snapToGrid w:val="0"/>
          <w:sz w:val="16"/>
          <w:szCs w:val="16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   Для реализации программы Южно-Уральской интеллектуально-социальной программы для молодежи «Шаг в будущее-Созвездие НТТМ»  с целью развития созидающей личности учащихся </w:t>
      </w:r>
      <w:proofErr w:type="gramStart"/>
      <w:r>
        <w:rPr>
          <w:snapToGrid w:val="0"/>
          <w:sz w:val="28"/>
          <w:szCs w:val="28"/>
        </w:rPr>
        <w:t>организации-официальные</w:t>
      </w:r>
      <w:proofErr w:type="gramEnd"/>
      <w:r>
        <w:rPr>
          <w:snapToGrid w:val="0"/>
          <w:sz w:val="28"/>
          <w:szCs w:val="28"/>
        </w:rPr>
        <w:t xml:space="preserve"> участники  программы осуществляют совместные проекты, организуют и проводят практические мероприятия, в том числе: научные, методические и образовательные форумы, конференции, семинары, конкурсы, школы, олимпиады. </w:t>
      </w: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proofErr w:type="gramStart"/>
      <w:r>
        <w:rPr>
          <w:snapToGrid w:val="0"/>
          <w:sz w:val="28"/>
          <w:szCs w:val="28"/>
        </w:rPr>
        <w:t>Координаторы программы организуют на территории своей деятельности ежегодные молодежные интеллектуальные региональные, областные, городские, районные форумы  (научно-практические конференции интеллектуального творчества учащейся молодежи) «Шаг в будущее-Созвездие НТТМ» (конкурс «Исследовательские творческие работы», конкурс рационализаторов «Полезная модель», конкурс изобретательных «Технология творческого мышления – ТРИЗ»,  конкурс интеллектуалов «Технология развития памяти и логики», конкурс  эрудитов  знатоков «Что-где-когда?», конкурс фото-видео сюжетов...), ежегодные Уральские  выставки  НТТМ (интеллектуалов, исследователей, конструкторов</w:t>
      </w:r>
      <w:proofErr w:type="gramEnd"/>
      <w:r>
        <w:rPr>
          <w:snapToGrid w:val="0"/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 xml:space="preserve">изобретателей) «Евразийские ворота России», организуют и совершенствуют структуру Союза творческо-интеллектуальной молодежи «Интеллектуалы-исследователи-изобретатели XXI века» при Российском молодежном политехническом обществе (РМПО); осуществляют предварительный отбор участников на центральные научные и профессиональные мероприятия программы, поддерживают представителей региона, направляемых всероссийскими мероприятиями молодых исследователей  на международные конференции, соревнования, выставки и т.п.; распространяют  информацию о программе «Шаг в будущее…».  </w:t>
      </w:r>
      <w:proofErr w:type="gramEnd"/>
    </w:p>
    <w:p w:rsidR="0080283B" w:rsidRPr="00DD431D" w:rsidRDefault="0080283B" w:rsidP="0080283B">
      <w:pPr>
        <w:widowControl w:val="0"/>
        <w:jc w:val="both"/>
        <w:rPr>
          <w:snapToGrid w:val="0"/>
          <w:sz w:val="16"/>
          <w:szCs w:val="16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Координаторы программы оказывают поддержку деятельности ВУЗов-участников по привлечению творчески активной молодежи для обучения, в том числе проводят мероприятия, направленные на профессиональную ориентацию молодежи,  организуют совместные учебные и контрольные мероприятия, распространяют проспекты и рекламные объявления. </w:t>
      </w:r>
    </w:p>
    <w:p w:rsidR="0080283B" w:rsidRDefault="0080283B" w:rsidP="0080283B">
      <w:pPr>
        <w:widowControl w:val="0"/>
        <w:jc w:val="both"/>
        <w:rPr>
          <w:snapToGrid w:val="0"/>
          <w:sz w:val="16"/>
          <w:szCs w:val="16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7B21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Официальные представители и координаторы программы «Шаг в будущее…»  </w:t>
      </w:r>
      <w:r>
        <w:rPr>
          <w:snapToGrid w:val="0"/>
          <w:sz w:val="28"/>
          <w:szCs w:val="28"/>
        </w:rPr>
        <w:lastRenderedPageBreak/>
        <w:t xml:space="preserve">координируют свои усилия при решении социальных и образовательных проблем; представляют друг друга в органах государственной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 </w:t>
      </w:r>
    </w:p>
    <w:p w:rsidR="0080283B" w:rsidRPr="00DD431D" w:rsidRDefault="0080283B" w:rsidP="0080283B">
      <w:pPr>
        <w:widowControl w:val="0"/>
        <w:jc w:val="both"/>
        <w:rPr>
          <w:snapToGrid w:val="0"/>
          <w:sz w:val="16"/>
          <w:szCs w:val="16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Для финансирования мероприятий, проводимых Координационными центрами, привлекаются средства из местных бюджетов, средства координаторов программы, спонсоров, попечителей,  благотворительных взносы  </w:t>
      </w:r>
      <w:proofErr w:type="gramStart"/>
      <w:r>
        <w:rPr>
          <w:snapToGrid w:val="0"/>
          <w:sz w:val="28"/>
          <w:szCs w:val="28"/>
        </w:rPr>
        <w:t>организаций-официальных</w:t>
      </w:r>
      <w:proofErr w:type="gramEnd"/>
      <w:r>
        <w:rPr>
          <w:snapToGrid w:val="0"/>
          <w:sz w:val="28"/>
          <w:szCs w:val="28"/>
        </w:rPr>
        <w:t xml:space="preserve"> участников программы «Шаг в будущее-Созвездие</w:t>
      </w:r>
      <w:r w:rsidRPr="007B21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НТТМ».</w:t>
      </w:r>
    </w:p>
    <w:p w:rsidR="0080283B" w:rsidRPr="00DD431D" w:rsidRDefault="0080283B" w:rsidP="0080283B">
      <w:pPr>
        <w:widowControl w:val="0"/>
        <w:jc w:val="both"/>
        <w:rPr>
          <w:snapToGrid w:val="0"/>
          <w:sz w:val="16"/>
          <w:szCs w:val="16"/>
        </w:rPr>
      </w:pPr>
    </w:p>
    <w:p w:rsidR="0080283B" w:rsidRDefault="0080283B" w:rsidP="0080283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Челябинский  городской координационный центр НТТМ «Интеллектуалы </w:t>
      </w:r>
      <w:r>
        <w:rPr>
          <w:snapToGrid w:val="0"/>
          <w:sz w:val="28"/>
          <w:szCs w:val="28"/>
          <w:lang w:val="en-US"/>
        </w:rPr>
        <w:t>XXI</w:t>
      </w:r>
      <w:r w:rsidRPr="003E265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века»  в районах города формирует свои Представительства  на базе </w:t>
      </w:r>
      <w:proofErr w:type="gramStart"/>
      <w:r>
        <w:rPr>
          <w:snapToGrid w:val="0"/>
          <w:sz w:val="28"/>
          <w:szCs w:val="28"/>
        </w:rPr>
        <w:t>организаций-официальных</w:t>
      </w:r>
      <w:proofErr w:type="gramEnd"/>
      <w:r>
        <w:rPr>
          <w:snapToGrid w:val="0"/>
          <w:sz w:val="28"/>
          <w:szCs w:val="28"/>
        </w:rPr>
        <w:t xml:space="preserve"> участников программы и районных Управлений образования. </w:t>
      </w:r>
    </w:p>
    <w:p w:rsidR="0080283B" w:rsidRDefault="0080283B" w:rsidP="0080283B">
      <w:pPr>
        <w:widowControl w:val="0"/>
        <w:ind w:right="-31"/>
        <w:jc w:val="both"/>
        <w:rPr>
          <w:b/>
          <w:snapToGrid w:val="0"/>
          <w:color w:val="0000FF"/>
          <w:sz w:val="16"/>
          <w:szCs w:val="16"/>
          <w:u w:val="single"/>
        </w:rPr>
      </w:pPr>
    </w:p>
    <w:p w:rsidR="00570C53" w:rsidRDefault="00570C53"/>
    <w:sectPr w:rsidR="00570C53" w:rsidSect="0080283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C"/>
    <w:rsid w:val="00570C53"/>
    <w:rsid w:val="0065573C"/>
    <w:rsid w:val="008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2015-08-21T06:06:00Z</dcterms:created>
  <dcterms:modified xsi:type="dcterms:W3CDTF">2015-08-21T06:08:00Z</dcterms:modified>
</cp:coreProperties>
</file>